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2018/35 vom 28. April 2020</w:t>
      </w:r>
    </w:p>
    <w:p>
      <w:r>
        <w:t>Sg Versicherungsgericht, 2020-04-28, DE</w:t>
      </w:r>
    </w:p>
    <w:p>
      <w:r>
        <w:rPr>
          <w:b/>
        </w:rPr>
        <w:t xml:space="preserve">Quelle: </w:t>
      </w:r>
      <w:r>
        <w:t>https://mcp.opencaselaw.ch/entscheid/sg_publikationen_EL 2018_35</w:t>
      </w:r>
    </w:p>
    <w:p>
      <w:r>
        <w:t>FR: SG_VERSICHERUNGSGERICHT EL 2018/35 du 28 avril 2020</w:t>
      </w:r>
    </w:p>
    <w:p>
      <w:r>
        <w:t>IT: SG_VERSICHERUNGSGERICHT EL 2018/35 del 28 aprile 2020</w:t>
      </w:r>
    </w:p>
    <w:p>
      <w:pPr>
        <w:pStyle w:val="Heading2"/>
      </w:pPr>
      <w:r>
        <w:t>Regeste</w:t>
      </w:r>
    </w:p>
    <w:p>
      <w:r>
        <w:t>Art. 10 f. ELG. Berücksichtigung des Eigenmietwerts von selbstbewohntem Grundeigentum und von landwirtschaftlichen Flächen in der Anspruchsberechnung. Abweisung der Beschwerde (Entscheid des Versicherungsgerichts des Kanton St. Gallen vom 28. April 2020, EL 2018/35).</w:t>
      </w:r>
    </w:p>
    <w:p>
      <w:pPr>
        <w:pStyle w:val="Heading2"/>
      </w:pPr>
      <w:r>
        <w:t>Erwägungen</w:t>
      </w:r>
    </w:p>
    <w:p>
      <w:r>
        <w:rPr>
          <w:b/>
        </w:rPr>
        <w:t>E. 2</w:t>
      </w:r>
    </w:p>
    <w:p>
      <w:r>
        <w:t>Es werden keine Gerichtskosten erhoben.​</w:t>
      </w:r>
    </w:p>
    <w:p>
      <w:r>
        <w:rPr>
          <w:b/>
        </w:rPr>
        <w:t>E. 2.1</w:t>
      </w:r>
    </w:p>
    <w:p>
      <w:r>
        <w:t>Zusammenfassend ist festzuhalten, dass verschiedene Berechnungspositionen nicht mit dem Beweisgrad der überwiegenden Wahrscheinlichkeit feststehen, da die Beschwerdegegnerin den Sachverhalt nicht rechtsgenügend ermittelt hat. Dadurch hat sie den Untersuchungsgrundsatz nach Art. 43 Abs. 1 ATSG verletzt. Da jedoch auch im für den Beschwerdeführer "bestmöglichen" Fall, d.h. unter Berücksichtigung der höchstmöglichen Ausgaben und der tiefstmöglichen Einnahmen ein Einnahmenüberschuss resultiert, kann die Verletzung der Untersuchungspflicht im vorliegenden Fall aus verfahrensökonomischen Gründen ignoriert werden. Die Beschwerdegegnerin hat den Anspruch des Beschwerdeführers auf Ergänzungsleistungen ab 1. August 2017 im Ergebnis daher zu Recht verneint. Sollte sich der Beschwerdeführer in der Zukunft erneut bei der Beschwerdegegnerin zum Bezug von Ergänzungsleistungen anmelden, müssten diejenigen Ein- und Ausgabenpositionen, deren Höhe nicht mit dem Beweisgrad der überwiegenden Wahrscheinlichkeit feststeht, allerdings noch abgeklärt werden.</w:t>
      </w:r>
    </w:p>
    <w:p>
      <w:r>
        <w:rPr>
          <w:b/>
        </w:rPr>
        <w:t>E. 2.2</w:t>
      </w:r>
    </w:p>
    <w:p>
      <w:r>
        <w:t>Somit ist die Beschwerde abzuweisen. Gerichtskosten sind keine zu erheben (Art. 61 lit. a ATSG). Entscheid im Zirkulationsverfahren gemäss Art. 39 VRP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